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027" w:rsidRDefault="00B26027">
      <w:pPr>
        <w:jc w:val="center"/>
        <w:rPr>
          <w:i/>
          <w:iCs/>
        </w:rPr>
      </w:pPr>
      <w:r>
        <w:rPr>
          <w:i/>
          <w:iCs/>
        </w:rPr>
        <w:t>SHENANDOAH VALLEY COMMUNITY RESIDENCES, INC.</w:t>
      </w:r>
    </w:p>
    <w:p w:rsidR="00B26027" w:rsidRDefault="00B26027">
      <w:pPr>
        <w:jc w:val="center"/>
        <w:rPr>
          <w:i/>
          <w:iCs/>
        </w:rPr>
      </w:pPr>
    </w:p>
    <w:p w:rsidR="00B26027" w:rsidRPr="00DA4CFF" w:rsidRDefault="00B26027">
      <w:pPr>
        <w:jc w:val="center"/>
        <w:rPr>
          <w:b/>
          <w:bCs/>
          <w:color w:val="auto"/>
          <w:u w:val="single"/>
        </w:rPr>
      </w:pPr>
      <w:r w:rsidRPr="00DA4CFF">
        <w:rPr>
          <w:b/>
          <w:bCs/>
          <w:color w:val="auto"/>
          <w:u w:val="single"/>
        </w:rPr>
        <w:t>HIPAA Privacy Standards</w:t>
      </w:r>
    </w:p>
    <w:p w:rsidR="00B26027" w:rsidRPr="00DA4CFF" w:rsidRDefault="00B26027">
      <w:pPr>
        <w:jc w:val="center"/>
        <w:rPr>
          <w:color w:val="auto"/>
        </w:rPr>
      </w:pPr>
    </w:p>
    <w:p w:rsidR="00B26027" w:rsidRPr="00DA4CFF" w:rsidRDefault="00B26027">
      <w:pPr>
        <w:jc w:val="both"/>
        <w:rPr>
          <w:color w:val="auto"/>
        </w:rPr>
      </w:pPr>
      <w:r w:rsidRPr="00DA4CFF">
        <w:rPr>
          <w:color w:val="auto"/>
        </w:rPr>
        <w:t>In accordance with Health Insurance Portability and Accountability Act of 1996, hereafter referred to as HIPAA, Shenandoah Valley Community Residences, Inc. (</w:t>
      </w:r>
      <w:smartTag w:uri="urn:schemas-microsoft-com:office:smarttags" w:element="PersonName">
        <w:r w:rsidRPr="00DA4CFF">
          <w:rPr>
            <w:color w:val="auto"/>
          </w:rPr>
          <w:t>SVCR</w:t>
        </w:r>
      </w:smartTag>
      <w:r w:rsidRPr="00DA4CFF">
        <w:rPr>
          <w:color w:val="auto"/>
        </w:rPr>
        <w:t xml:space="preserve">) has been identified as a covered entity.  Therefore, the following policy and procedures have been established and have not been addressed in detail elsewhere within the </w:t>
      </w:r>
      <w:smartTag w:uri="urn:schemas-microsoft-com:office:smarttags" w:element="PersonName">
        <w:r w:rsidRPr="00DA4CFF">
          <w:rPr>
            <w:color w:val="auto"/>
          </w:rPr>
          <w:t>SVCR</w:t>
        </w:r>
      </w:smartTag>
      <w:r w:rsidRPr="00DA4CFF">
        <w:rPr>
          <w:color w:val="auto"/>
        </w:rPr>
        <w:t xml:space="preserve"> policies and procedures manual.</w:t>
      </w:r>
    </w:p>
    <w:p w:rsidR="00B26027" w:rsidRPr="00DA4CFF" w:rsidRDefault="00B26027">
      <w:pPr>
        <w:jc w:val="both"/>
        <w:rPr>
          <w:color w:val="auto"/>
        </w:rPr>
      </w:pPr>
    </w:p>
    <w:p w:rsidR="00B26027" w:rsidRPr="00DA4CFF" w:rsidRDefault="00B26027">
      <w:pPr>
        <w:ind w:left="720" w:hanging="720"/>
        <w:jc w:val="both"/>
        <w:rPr>
          <w:color w:val="auto"/>
        </w:rPr>
      </w:pPr>
      <w:r w:rsidRPr="00DA4CFF">
        <w:rPr>
          <w:color w:val="auto"/>
        </w:rPr>
        <w:t>I.</w:t>
      </w:r>
      <w:r w:rsidRPr="00DA4CFF">
        <w:rPr>
          <w:color w:val="auto"/>
        </w:rPr>
        <w:tab/>
      </w:r>
      <w:r w:rsidRPr="00DA4CFF">
        <w:rPr>
          <w:b/>
          <w:bCs/>
          <w:caps/>
          <w:color w:val="auto"/>
        </w:rPr>
        <w:t>Notice of Privacy Practices</w:t>
      </w:r>
      <w:r w:rsidRPr="00DA4CFF">
        <w:rPr>
          <w:caps/>
          <w:color w:val="auto"/>
        </w:rPr>
        <w:t xml:space="preserve"> – </w:t>
      </w:r>
      <w:r w:rsidRPr="00DA4CFF">
        <w:rPr>
          <w:color w:val="auto"/>
        </w:rPr>
        <w:t xml:space="preserve">describes </w:t>
      </w:r>
      <w:smartTag w:uri="urn:schemas-microsoft-com:office:smarttags" w:element="PersonName">
        <w:r w:rsidRPr="00DA4CFF">
          <w:rPr>
            <w:color w:val="auto"/>
          </w:rPr>
          <w:t>SVCR</w:t>
        </w:r>
      </w:smartTag>
      <w:r w:rsidRPr="00DA4CFF">
        <w:rPr>
          <w:color w:val="auto"/>
        </w:rPr>
        <w:t xml:space="preserve">’s obligations, policies and procedures and the client’s rights regarding protected health information (hereafter referred as PHI).  </w:t>
      </w:r>
    </w:p>
    <w:p w:rsidR="00B26027" w:rsidRPr="00DA4CFF" w:rsidRDefault="00B26027">
      <w:pPr>
        <w:ind w:left="720" w:hanging="720"/>
        <w:jc w:val="both"/>
        <w:rPr>
          <w:color w:val="auto"/>
        </w:rPr>
      </w:pPr>
      <w:bookmarkStart w:id="0" w:name="_GoBack"/>
      <w:bookmarkEnd w:id="0"/>
    </w:p>
    <w:p w:rsidR="00B26027" w:rsidRPr="00DA4CFF" w:rsidRDefault="00B26027">
      <w:pPr>
        <w:numPr>
          <w:ilvl w:val="0"/>
          <w:numId w:val="1"/>
        </w:numPr>
        <w:jc w:val="both"/>
        <w:rPr>
          <w:color w:val="auto"/>
        </w:rPr>
      </w:pPr>
      <w:r w:rsidRPr="00DA4CFF">
        <w:rPr>
          <w:color w:val="auto"/>
        </w:rPr>
        <w:t xml:space="preserve">The </w:t>
      </w:r>
      <w:r w:rsidR="005F2764" w:rsidRPr="005F2764">
        <w:rPr>
          <w:i/>
          <w:color w:val="auto"/>
        </w:rPr>
        <w:t xml:space="preserve">Notice of Privacy Practices </w:t>
      </w:r>
      <w:r w:rsidRPr="00DA4CFF">
        <w:rPr>
          <w:color w:val="auto"/>
        </w:rPr>
        <w:t>must be given to the client before the delivery of the first service.</w:t>
      </w:r>
    </w:p>
    <w:p w:rsidR="00B26027" w:rsidRPr="00DA4CFF" w:rsidRDefault="00B26027">
      <w:pPr>
        <w:ind w:left="720"/>
        <w:jc w:val="both"/>
        <w:rPr>
          <w:color w:val="auto"/>
        </w:rPr>
      </w:pPr>
    </w:p>
    <w:p w:rsidR="00B26027" w:rsidRPr="00DA4CFF" w:rsidRDefault="00B26027">
      <w:pPr>
        <w:numPr>
          <w:ilvl w:val="0"/>
          <w:numId w:val="1"/>
        </w:numPr>
        <w:jc w:val="both"/>
        <w:rPr>
          <w:color w:val="auto"/>
        </w:rPr>
      </w:pPr>
      <w:r w:rsidRPr="00DA4CFF">
        <w:rPr>
          <w:color w:val="auto"/>
        </w:rPr>
        <w:t xml:space="preserve">The </w:t>
      </w:r>
      <w:r w:rsidR="005F2764" w:rsidRPr="005F2764">
        <w:rPr>
          <w:i/>
          <w:color w:val="auto"/>
        </w:rPr>
        <w:t xml:space="preserve">Notice of Privacy Practices </w:t>
      </w:r>
      <w:r w:rsidRPr="00DA4CFF">
        <w:rPr>
          <w:color w:val="auto"/>
        </w:rPr>
        <w:t xml:space="preserve">will only be given once, unless there is a material change to the privacy practices. </w:t>
      </w:r>
    </w:p>
    <w:p w:rsidR="00B26027" w:rsidRPr="00DA4CFF" w:rsidRDefault="00B26027">
      <w:pPr>
        <w:jc w:val="both"/>
        <w:rPr>
          <w:color w:val="auto"/>
        </w:rPr>
      </w:pPr>
    </w:p>
    <w:p w:rsidR="00B26027" w:rsidRPr="00DA4CFF" w:rsidRDefault="00B26027">
      <w:pPr>
        <w:numPr>
          <w:ilvl w:val="0"/>
          <w:numId w:val="1"/>
        </w:numPr>
        <w:jc w:val="both"/>
        <w:rPr>
          <w:color w:val="auto"/>
        </w:rPr>
      </w:pPr>
      <w:smartTag w:uri="urn:schemas-microsoft-com:office:smarttags" w:element="PersonName">
        <w:r w:rsidRPr="00DA4CFF">
          <w:rPr>
            <w:color w:val="auto"/>
          </w:rPr>
          <w:t>SVCR</w:t>
        </w:r>
      </w:smartTag>
      <w:r w:rsidRPr="00DA4CFF">
        <w:rPr>
          <w:color w:val="auto"/>
        </w:rPr>
        <w:t xml:space="preserve"> will promptly revise and distribute its notice whenever there is a material change to uses or disclosures, individual’s right, </w:t>
      </w:r>
      <w:r w:rsidR="00BB20C6" w:rsidRPr="00DA4CFF">
        <w:rPr>
          <w:color w:val="auto"/>
        </w:rPr>
        <w:t>legally</w:t>
      </w:r>
      <w:r w:rsidRPr="00DA4CFF">
        <w:rPr>
          <w:color w:val="auto"/>
        </w:rPr>
        <w:t xml:space="preserve"> duties, or privacy practices.  A material change to any term of the notice will not be implemented prior to the effective date of the notice. </w:t>
      </w:r>
    </w:p>
    <w:p w:rsidR="00B26027" w:rsidRPr="00DA4CFF" w:rsidRDefault="00B26027">
      <w:pPr>
        <w:jc w:val="both"/>
        <w:rPr>
          <w:color w:val="auto"/>
        </w:rPr>
      </w:pPr>
    </w:p>
    <w:p w:rsidR="00B26027" w:rsidRPr="00DA4CFF" w:rsidRDefault="00B26027">
      <w:pPr>
        <w:numPr>
          <w:ilvl w:val="0"/>
          <w:numId w:val="1"/>
        </w:numPr>
        <w:jc w:val="both"/>
        <w:rPr>
          <w:color w:val="auto"/>
        </w:rPr>
      </w:pPr>
      <w:r w:rsidRPr="00DA4CFF">
        <w:rPr>
          <w:color w:val="auto"/>
        </w:rPr>
        <w:t xml:space="preserve">The current </w:t>
      </w:r>
      <w:r w:rsidR="005F2764" w:rsidRPr="005F2764">
        <w:rPr>
          <w:i/>
          <w:color w:val="auto"/>
        </w:rPr>
        <w:t xml:space="preserve">Notice of Privacy Practices </w:t>
      </w:r>
      <w:r w:rsidRPr="00DA4CFF">
        <w:rPr>
          <w:color w:val="auto"/>
        </w:rPr>
        <w:t>will be posted prominently in the residential facilities.</w:t>
      </w:r>
    </w:p>
    <w:p w:rsidR="00B26027" w:rsidRPr="00DA4CFF" w:rsidRDefault="00B26027">
      <w:pPr>
        <w:jc w:val="both"/>
        <w:rPr>
          <w:color w:val="auto"/>
        </w:rPr>
      </w:pPr>
    </w:p>
    <w:p w:rsidR="00B26027" w:rsidRPr="00DA4CFF" w:rsidRDefault="00B26027">
      <w:pPr>
        <w:numPr>
          <w:ilvl w:val="0"/>
          <w:numId w:val="1"/>
        </w:numPr>
        <w:jc w:val="both"/>
        <w:rPr>
          <w:color w:val="auto"/>
        </w:rPr>
      </w:pPr>
      <w:r w:rsidRPr="00DA4CFF">
        <w:rPr>
          <w:color w:val="auto"/>
        </w:rPr>
        <w:t xml:space="preserve">The </w:t>
      </w:r>
      <w:r w:rsidR="005F2764" w:rsidRPr="005F2764">
        <w:rPr>
          <w:i/>
          <w:color w:val="auto"/>
        </w:rPr>
        <w:t xml:space="preserve">Notice of Privacy Practices </w:t>
      </w:r>
      <w:r w:rsidRPr="00DA4CFF">
        <w:rPr>
          <w:color w:val="auto"/>
        </w:rPr>
        <w:t>will be made available to any person, upon request, for review or to take with them.</w:t>
      </w:r>
    </w:p>
    <w:p w:rsidR="00B26027" w:rsidRPr="00DA4CFF" w:rsidRDefault="00B26027">
      <w:pPr>
        <w:jc w:val="both"/>
        <w:rPr>
          <w:color w:val="auto"/>
        </w:rPr>
      </w:pPr>
    </w:p>
    <w:p w:rsidR="00B26027" w:rsidRPr="00DA4CFF" w:rsidRDefault="00B26027">
      <w:pPr>
        <w:numPr>
          <w:ilvl w:val="0"/>
          <w:numId w:val="1"/>
        </w:numPr>
        <w:jc w:val="both"/>
        <w:rPr>
          <w:color w:val="auto"/>
        </w:rPr>
      </w:pPr>
      <w:r w:rsidRPr="00DA4CFF">
        <w:rPr>
          <w:color w:val="auto"/>
        </w:rPr>
        <w:t xml:space="preserve">Copies of all versions of the </w:t>
      </w:r>
      <w:r w:rsidR="005F2764" w:rsidRPr="005F2764">
        <w:rPr>
          <w:i/>
          <w:color w:val="auto"/>
        </w:rPr>
        <w:t xml:space="preserve">Notice of Privacy Practices </w:t>
      </w:r>
      <w:r w:rsidRPr="00DA4CFF">
        <w:rPr>
          <w:color w:val="auto"/>
        </w:rPr>
        <w:t xml:space="preserve">will be maintained for </w:t>
      </w:r>
      <w:r w:rsidR="005F2764">
        <w:rPr>
          <w:color w:val="auto"/>
        </w:rPr>
        <w:t>five (5</w:t>
      </w:r>
      <w:r w:rsidRPr="00DA4CFF">
        <w:rPr>
          <w:color w:val="auto"/>
        </w:rPr>
        <w:t>) years from the date they were last in effect.</w:t>
      </w:r>
    </w:p>
    <w:p w:rsidR="00B26027" w:rsidRPr="00DA4CFF" w:rsidRDefault="00B26027">
      <w:pPr>
        <w:ind w:left="720" w:hanging="720"/>
        <w:jc w:val="both"/>
        <w:rPr>
          <w:color w:val="auto"/>
        </w:rPr>
      </w:pPr>
    </w:p>
    <w:p w:rsidR="00B26027" w:rsidRPr="005F2764" w:rsidRDefault="00B26027">
      <w:pPr>
        <w:ind w:left="720" w:hanging="720"/>
        <w:jc w:val="both"/>
        <w:rPr>
          <w:i/>
          <w:caps/>
          <w:color w:val="auto"/>
        </w:rPr>
      </w:pPr>
      <w:r w:rsidRPr="00DA4CFF">
        <w:rPr>
          <w:color w:val="auto"/>
        </w:rPr>
        <w:t>II.</w:t>
      </w:r>
      <w:r w:rsidRPr="00DA4CFF">
        <w:rPr>
          <w:color w:val="auto"/>
        </w:rPr>
        <w:tab/>
      </w:r>
      <w:r w:rsidRPr="00DA4CFF">
        <w:rPr>
          <w:b/>
          <w:bCs/>
          <w:color w:val="auto"/>
        </w:rPr>
        <w:t xml:space="preserve">ACKNOWLEDGEMENT OF RECEIPT OF </w:t>
      </w:r>
      <w:r w:rsidRPr="00DA4CFF">
        <w:rPr>
          <w:b/>
          <w:bCs/>
          <w:caps/>
          <w:color w:val="auto"/>
        </w:rPr>
        <w:t xml:space="preserve">THE </w:t>
      </w:r>
      <w:r w:rsidR="005F2764" w:rsidRPr="005F2764">
        <w:rPr>
          <w:b/>
          <w:bCs/>
          <w:i/>
          <w:caps/>
          <w:color w:val="auto"/>
        </w:rPr>
        <w:t xml:space="preserve">Notice of Privacy Practices </w:t>
      </w:r>
      <w:r w:rsidRPr="00DA4CFF">
        <w:rPr>
          <w:caps/>
          <w:color w:val="auto"/>
        </w:rPr>
        <w:t xml:space="preserve">– </w:t>
      </w:r>
      <w:r w:rsidRPr="00DA4CFF">
        <w:rPr>
          <w:color w:val="auto"/>
        </w:rPr>
        <w:t xml:space="preserve">documents the client and / or </w:t>
      </w:r>
      <w:r w:rsidR="00627525">
        <w:rPr>
          <w:color w:val="auto"/>
        </w:rPr>
        <w:t xml:space="preserve">authorized </w:t>
      </w:r>
      <w:r w:rsidRPr="00DA4CFF">
        <w:rPr>
          <w:color w:val="auto"/>
        </w:rPr>
        <w:t xml:space="preserve">representative received a copy of the </w:t>
      </w:r>
      <w:r w:rsidRPr="005F2764">
        <w:rPr>
          <w:i/>
          <w:color w:val="auto"/>
        </w:rPr>
        <w:t>Notice of Privacy Practices.</w:t>
      </w:r>
      <w:r w:rsidRPr="005F2764">
        <w:rPr>
          <w:i/>
          <w:color w:val="auto"/>
        </w:rPr>
        <w:tab/>
      </w:r>
    </w:p>
    <w:p w:rsidR="00B26027" w:rsidRPr="00DA4CFF" w:rsidRDefault="00B26027">
      <w:pPr>
        <w:ind w:left="720" w:hanging="720"/>
        <w:jc w:val="both"/>
        <w:rPr>
          <w:caps/>
          <w:color w:val="auto"/>
        </w:rPr>
      </w:pPr>
    </w:p>
    <w:p w:rsidR="00B26027" w:rsidRPr="00DA4CFF" w:rsidRDefault="00B26027">
      <w:pPr>
        <w:numPr>
          <w:ilvl w:val="0"/>
          <w:numId w:val="2"/>
        </w:numPr>
        <w:jc w:val="both"/>
        <w:rPr>
          <w:color w:val="auto"/>
        </w:rPr>
      </w:pPr>
      <w:r w:rsidRPr="00DA4CFF">
        <w:rPr>
          <w:color w:val="auto"/>
        </w:rPr>
        <w:t xml:space="preserve">The client and / or </w:t>
      </w:r>
      <w:r w:rsidR="00627525">
        <w:rPr>
          <w:color w:val="auto"/>
        </w:rPr>
        <w:t xml:space="preserve">authorized </w:t>
      </w:r>
      <w:r w:rsidRPr="00DA4CFF">
        <w:rPr>
          <w:color w:val="auto"/>
        </w:rPr>
        <w:t xml:space="preserve">representative will be requested to sign the top portion of the </w:t>
      </w:r>
      <w:r w:rsidR="005F2764" w:rsidRPr="005F2764">
        <w:rPr>
          <w:i/>
          <w:color w:val="auto"/>
        </w:rPr>
        <w:t>Acknowledgement of Receipt of Notice of Privacy Practices</w:t>
      </w:r>
      <w:r w:rsidR="005F2764">
        <w:rPr>
          <w:i/>
          <w:color w:val="auto"/>
        </w:rPr>
        <w:t xml:space="preserve"> </w:t>
      </w:r>
      <w:r w:rsidRPr="00DA4CFF">
        <w:rPr>
          <w:color w:val="auto"/>
        </w:rPr>
        <w:t>form.</w:t>
      </w:r>
    </w:p>
    <w:p w:rsidR="00B26027" w:rsidRPr="00DA4CFF" w:rsidRDefault="00B26027">
      <w:pPr>
        <w:ind w:left="720"/>
        <w:jc w:val="both"/>
        <w:rPr>
          <w:color w:val="auto"/>
        </w:rPr>
      </w:pPr>
    </w:p>
    <w:p w:rsidR="00B26027" w:rsidRPr="00DA4CFF" w:rsidRDefault="00B26027">
      <w:pPr>
        <w:numPr>
          <w:ilvl w:val="0"/>
          <w:numId w:val="2"/>
        </w:numPr>
        <w:jc w:val="both"/>
        <w:rPr>
          <w:color w:val="auto"/>
        </w:rPr>
      </w:pPr>
      <w:r w:rsidRPr="00DA4CFF">
        <w:rPr>
          <w:color w:val="auto"/>
        </w:rPr>
        <w:t xml:space="preserve">SVCR will make a good faith effort to obtain written acknowledgement from the client and / or </w:t>
      </w:r>
      <w:r w:rsidR="00627525">
        <w:rPr>
          <w:color w:val="auto"/>
        </w:rPr>
        <w:t xml:space="preserve">authorized </w:t>
      </w:r>
      <w:r w:rsidRPr="00DA4CFF">
        <w:rPr>
          <w:color w:val="auto"/>
        </w:rPr>
        <w:t xml:space="preserve">representative that they have received a copy of the </w:t>
      </w:r>
      <w:r w:rsidR="005F2764" w:rsidRPr="005F2764">
        <w:rPr>
          <w:i/>
          <w:color w:val="auto"/>
        </w:rPr>
        <w:t>Notice of Privacy Practices</w:t>
      </w:r>
      <w:r w:rsidR="005F2764">
        <w:rPr>
          <w:i/>
          <w:color w:val="auto"/>
        </w:rPr>
        <w:t>.</w:t>
      </w:r>
      <w:r w:rsidR="005F2764" w:rsidRPr="005F2764">
        <w:rPr>
          <w:i/>
          <w:color w:val="auto"/>
        </w:rPr>
        <w:t xml:space="preserve"> </w:t>
      </w:r>
    </w:p>
    <w:p w:rsidR="00B26027" w:rsidRPr="00DA4CFF" w:rsidRDefault="00B26027">
      <w:pPr>
        <w:jc w:val="both"/>
        <w:rPr>
          <w:color w:val="auto"/>
        </w:rPr>
      </w:pPr>
    </w:p>
    <w:p w:rsidR="00B26027" w:rsidRPr="00DA4CFF" w:rsidRDefault="00B26027">
      <w:pPr>
        <w:numPr>
          <w:ilvl w:val="0"/>
          <w:numId w:val="2"/>
        </w:numPr>
        <w:jc w:val="both"/>
        <w:rPr>
          <w:color w:val="auto"/>
        </w:rPr>
      </w:pPr>
      <w:r w:rsidRPr="00DA4CFF">
        <w:rPr>
          <w:color w:val="auto"/>
        </w:rPr>
        <w:t xml:space="preserve">The signed </w:t>
      </w:r>
      <w:r w:rsidR="005F2764" w:rsidRPr="005F2764">
        <w:rPr>
          <w:i/>
          <w:color w:val="auto"/>
        </w:rPr>
        <w:t>Acknowledgement of Receipt of Notice of Privacy Practices</w:t>
      </w:r>
      <w:r w:rsidR="005F2764">
        <w:rPr>
          <w:i/>
          <w:color w:val="auto"/>
        </w:rPr>
        <w:t xml:space="preserve"> </w:t>
      </w:r>
      <w:r w:rsidRPr="00DA4CFF">
        <w:rPr>
          <w:color w:val="auto"/>
        </w:rPr>
        <w:t>form will be maintained in the client’s record by the Administrative Assistant.</w:t>
      </w:r>
    </w:p>
    <w:p w:rsidR="00B26027" w:rsidRPr="00DA4CFF" w:rsidRDefault="00B26027">
      <w:pPr>
        <w:jc w:val="both"/>
        <w:rPr>
          <w:color w:val="auto"/>
        </w:rPr>
      </w:pPr>
    </w:p>
    <w:p w:rsidR="00B26027" w:rsidRPr="00DA4CFF" w:rsidRDefault="00B26027">
      <w:pPr>
        <w:jc w:val="both"/>
        <w:rPr>
          <w:color w:val="auto"/>
        </w:rPr>
      </w:pPr>
    </w:p>
    <w:p w:rsidR="00B26027" w:rsidRPr="00DA4CFF" w:rsidRDefault="00B26027">
      <w:pPr>
        <w:jc w:val="both"/>
        <w:rPr>
          <w:color w:val="auto"/>
        </w:rPr>
      </w:pPr>
    </w:p>
    <w:p w:rsidR="00B26027" w:rsidRPr="00DA4CFF" w:rsidRDefault="00B26027">
      <w:pPr>
        <w:jc w:val="both"/>
        <w:rPr>
          <w:color w:val="auto"/>
        </w:rPr>
      </w:pPr>
    </w:p>
    <w:p w:rsidR="00B26027" w:rsidRPr="00DA4CFF" w:rsidRDefault="00B26027">
      <w:pPr>
        <w:jc w:val="both"/>
        <w:rPr>
          <w:color w:val="auto"/>
        </w:rPr>
      </w:pPr>
    </w:p>
    <w:p w:rsidR="00B26027" w:rsidRPr="00DA4CFF" w:rsidRDefault="00B26027">
      <w:pPr>
        <w:numPr>
          <w:ilvl w:val="0"/>
          <w:numId w:val="2"/>
        </w:numPr>
        <w:jc w:val="both"/>
        <w:rPr>
          <w:color w:val="auto"/>
        </w:rPr>
      </w:pPr>
      <w:r w:rsidRPr="00DA4CFF">
        <w:rPr>
          <w:color w:val="auto"/>
        </w:rPr>
        <w:t xml:space="preserve">Should the client and / or </w:t>
      </w:r>
      <w:r w:rsidR="00627525">
        <w:rPr>
          <w:color w:val="auto"/>
        </w:rPr>
        <w:t xml:space="preserve">authorized </w:t>
      </w:r>
      <w:r w:rsidRPr="00DA4CFF">
        <w:rPr>
          <w:color w:val="auto"/>
        </w:rPr>
        <w:t xml:space="preserve">representative refuse to sign the </w:t>
      </w:r>
      <w:r w:rsidR="005F2764" w:rsidRPr="005F2764">
        <w:rPr>
          <w:i/>
          <w:color w:val="auto"/>
        </w:rPr>
        <w:t>Acknowledgement of Receipt of Notice of Privacy Practices</w:t>
      </w:r>
      <w:r w:rsidR="005F2764">
        <w:rPr>
          <w:i/>
          <w:color w:val="auto"/>
        </w:rPr>
        <w:t xml:space="preserve"> </w:t>
      </w:r>
      <w:r w:rsidRPr="00DA4CFF">
        <w:rPr>
          <w:color w:val="auto"/>
        </w:rPr>
        <w:t>form, the “Provider Use Only” section will be completed in its entirety.</w:t>
      </w:r>
    </w:p>
    <w:p w:rsidR="00B26027" w:rsidRPr="00DA4CFF" w:rsidRDefault="00B26027">
      <w:pPr>
        <w:jc w:val="both"/>
        <w:rPr>
          <w:color w:val="auto"/>
        </w:rPr>
      </w:pPr>
    </w:p>
    <w:p w:rsidR="00B26027" w:rsidRPr="00DA4CFF" w:rsidRDefault="00B26027">
      <w:pPr>
        <w:pStyle w:val="BodyTextIndent"/>
        <w:jc w:val="both"/>
      </w:pPr>
      <w:r w:rsidRPr="00DA4CFF">
        <w:t>III.</w:t>
      </w:r>
      <w:r w:rsidRPr="00DA4CFF">
        <w:tab/>
      </w:r>
      <w:r w:rsidRPr="00DA4CFF">
        <w:rPr>
          <w:b/>
          <w:bCs/>
        </w:rPr>
        <w:t xml:space="preserve">CONFIDENTIAL COMMUNICATIONS </w:t>
      </w:r>
      <w:r w:rsidRPr="00DA4CFF">
        <w:t xml:space="preserve">– The client and / or </w:t>
      </w:r>
      <w:r w:rsidR="00627525">
        <w:t xml:space="preserve">authorized </w:t>
      </w:r>
      <w:r w:rsidRPr="00DA4CFF">
        <w:t xml:space="preserve">representative may request </w:t>
      </w:r>
      <w:smartTag w:uri="urn:schemas-microsoft-com:office:smarttags" w:element="PersonName">
        <w:r w:rsidRPr="00DA4CFF">
          <w:t>SVCR</w:t>
        </w:r>
      </w:smartTag>
      <w:r w:rsidRPr="00DA4CFF">
        <w:t xml:space="preserve"> communicate with them about medical matters in a certain way or location.  Every attempt will be made to comply with reasonable requests; however, </w:t>
      </w:r>
      <w:smartTag w:uri="urn:schemas-microsoft-com:office:smarttags" w:element="PersonName">
        <w:r w:rsidRPr="00DA4CFF">
          <w:t>SVCR</w:t>
        </w:r>
      </w:smartTag>
      <w:r w:rsidRPr="00DA4CFF">
        <w:t xml:space="preserve"> has a right to deny the request.</w:t>
      </w:r>
    </w:p>
    <w:p w:rsidR="00B26027" w:rsidRPr="00DA4CFF" w:rsidRDefault="00B26027">
      <w:pPr>
        <w:pStyle w:val="BodyTextIndent"/>
        <w:jc w:val="both"/>
      </w:pPr>
    </w:p>
    <w:p w:rsidR="00B26027" w:rsidRPr="00DA4CFF" w:rsidRDefault="00B26027">
      <w:pPr>
        <w:pStyle w:val="BodyTextIndent"/>
        <w:numPr>
          <w:ilvl w:val="0"/>
          <w:numId w:val="6"/>
        </w:numPr>
        <w:jc w:val="both"/>
      </w:pPr>
      <w:r w:rsidRPr="00DA4CFF">
        <w:t>The request must be made in writing and forwarded to the Administrative Assistant.</w:t>
      </w:r>
    </w:p>
    <w:p w:rsidR="00B26027" w:rsidRPr="00DA4CFF" w:rsidRDefault="00B26027">
      <w:pPr>
        <w:pStyle w:val="BodyTextIndent"/>
        <w:ind w:firstLine="0"/>
        <w:jc w:val="both"/>
      </w:pPr>
    </w:p>
    <w:p w:rsidR="00B26027" w:rsidRPr="00DA4CFF" w:rsidRDefault="00B26027">
      <w:pPr>
        <w:pStyle w:val="BodyTextIndent"/>
        <w:numPr>
          <w:ilvl w:val="0"/>
          <w:numId w:val="6"/>
        </w:numPr>
        <w:jc w:val="both"/>
      </w:pPr>
      <w:r w:rsidRPr="00DA4CFF">
        <w:t xml:space="preserve">The client and / or </w:t>
      </w:r>
      <w:r w:rsidR="00627525">
        <w:t xml:space="preserve">authorized </w:t>
      </w:r>
      <w:r w:rsidRPr="00DA4CFF">
        <w:t>representative must specify how he / she is to be contacted.</w:t>
      </w:r>
    </w:p>
    <w:p w:rsidR="00B26027" w:rsidRPr="00DA4CFF" w:rsidRDefault="00B26027">
      <w:pPr>
        <w:pStyle w:val="BodyTextIndent"/>
        <w:ind w:left="0" w:firstLine="0"/>
        <w:jc w:val="both"/>
      </w:pPr>
    </w:p>
    <w:p w:rsidR="00B26027" w:rsidRPr="00DA4CFF" w:rsidRDefault="00B26027">
      <w:pPr>
        <w:pStyle w:val="BodyTextIndent"/>
        <w:numPr>
          <w:ilvl w:val="0"/>
          <w:numId w:val="6"/>
        </w:numPr>
        <w:jc w:val="both"/>
      </w:pPr>
      <w:r w:rsidRPr="00DA4CFF">
        <w:t xml:space="preserve">The client and / or </w:t>
      </w:r>
      <w:r w:rsidR="00627525">
        <w:t xml:space="preserve">authorized </w:t>
      </w:r>
      <w:r w:rsidRPr="00DA4CFF">
        <w:t>representative must specify where he / she is to be contacted.</w:t>
      </w:r>
    </w:p>
    <w:p w:rsidR="00B26027" w:rsidRPr="00DA4CFF" w:rsidRDefault="00B26027">
      <w:pPr>
        <w:pStyle w:val="BodyTextIndent"/>
        <w:ind w:left="0" w:firstLine="0"/>
        <w:jc w:val="both"/>
      </w:pPr>
    </w:p>
    <w:p w:rsidR="00B26027" w:rsidRPr="00DA4CFF" w:rsidRDefault="00B26027">
      <w:pPr>
        <w:pStyle w:val="BodyTextIndent"/>
        <w:numPr>
          <w:ilvl w:val="0"/>
          <w:numId w:val="6"/>
        </w:numPr>
        <w:jc w:val="both"/>
      </w:pPr>
      <w:r w:rsidRPr="00DA4CFF">
        <w:t xml:space="preserve">If the request is denied, a written explanation will be provided to the client and / or </w:t>
      </w:r>
      <w:r w:rsidR="00627525">
        <w:t xml:space="preserve">authorized </w:t>
      </w:r>
      <w:r w:rsidRPr="00DA4CFF">
        <w:t>representative.</w:t>
      </w:r>
    </w:p>
    <w:p w:rsidR="00B26027" w:rsidRPr="00DA4CFF" w:rsidRDefault="00B26027">
      <w:pPr>
        <w:jc w:val="both"/>
        <w:rPr>
          <w:color w:val="auto"/>
        </w:rPr>
      </w:pPr>
    </w:p>
    <w:p w:rsidR="00B26027" w:rsidRPr="00DA4CFF" w:rsidRDefault="00B26027">
      <w:pPr>
        <w:pStyle w:val="BodyTextIndent3"/>
        <w:ind w:left="0" w:firstLine="0"/>
        <w:rPr>
          <w:b/>
          <w:bCs/>
        </w:rPr>
      </w:pPr>
      <w:r w:rsidRPr="00DA4CFF">
        <w:t>IV.</w:t>
      </w:r>
      <w:r w:rsidRPr="00DA4CFF">
        <w:tab/>
      </w:r>
      <w:r w:rsidRPr="00DA4CFF">
        <w:rPr>
          <w:b/>
          <w:bCs/>
        </w:rPr>
        <w:t>PHYSICAL SAFEGUARDS</w:t>
      </w:r>
    </w:p>
    <w:p w:rsidR="00B26027" w:rsidRDefault="00B26027" w:rsidP="00F32CB6">
      <w:pPr>
        <w:pStyle w:val="BodyTextIndent3"/>
        <w:numPr>
          <w:ilvl w:val="1"/>
          <w:numId w:val="1"/>
        </w:numPr>
        <w:tabs>
          <w:tab w:val="clear" w:pos="1440"/>
          <w:tab w:val="num" w:pos="1080"/>
        </w:tabs>
        <w:ind w:left="1092" w:hanging="372"/>
      </w:pPr>
      <w:r w:rsidRPr="00DA4CFF">
        <w:t>Areas in which only SVCR authorized staff are permitted and are not areas to be accessible by clients or non-SVCR staff are to be clearly designated by signs indicating the area is not accessible to unauthorized individuals.</w:t>
      </w:r>
    </w:p>
    <w:p w:rsidR="00B26027" w:rsidRPr="00DA4CFF" w:rsidRDefault="00B26027" w:rsidP="00F32CB6">
      <w:pPr>
        <w:pStyle w:val="BodyTextIndent3"/>
        <w:numPr>
          <w:ilvl w:val="1"/>
          <w:numId w:val="1"/>
        </w:numPr>
        <w:tabs>
          <w:tab w:val="clear" w:pos="1440"/>
          <w:tab w:val="num" w:pos="720"/>
        </w:tabs>
        <w:ind w:left="1092" w:hanging="372"/>
      </w:pPr>
      <w:r w:rsidRPr="00DA4CFF">
        <w:t>Offices, file cabinets and / or desks draws that maintain client protected health information (PHI) are to be locked when not attended by authorized personnel.</w:t>
      </w:r>
    </w:p>
    <w:p w:rsidR="00B26027" w:rsidRDefault="00B26027" w:rsidP="00F32CB6">
      <w:pPr>
        <w:pStyle w:val="BodyTextIndent3"/>
        <w:numPr>
          <w:ilvl w:val="1"/>
          <w:numId w:val="1"/>
        </w:numPr>
        <w:tabs>
          <w:tab w:val="clear" w:pos="1440"/>
          <w:tab w:val="num" w:pos="1080"/>
        </w:tabs>
        <w:ind w:left="1092" w:hanging="372"/>
      </w:pPr>
      <w:r w:rsidRPr="00DA4CFF">
        <w:t>Computer monitor / screens are to be protected from view while client PHI is being accessed.  All software programs containing client PHI are to be closed when the computer is not be attended by authorized personnel.</w:t>
      </w:r>
    </w:p>
    <w:p w:rsidR="00A14539" w:rsidRPr="00057012" w:rsidRDefault="00B070BF" w:rsidP="00F32CB6">
      <w:pPr>
        <w:pStyle w:val="BodyTextIndent3"/>
        <w:numPr>
          <w:ilvl w:val="1"/>
          <w:numId w:val="1"/>
        </w:numPr>
        <w:tabs>
          <w:tab w:val="clear" w:pos="1440"/>
          <w:tab w:val="num" w:pos="1080"/>
        </w:tabs>
        <w:ind w:left="1092" w:hanging="390"/>
      </w:pPr>
      <w:r w:rsidRPr="00057012">
        <w:t>Prior to disposal of</w:t>
      </w:r>
      <w:r w:rsidR="00A14539" w:rsidRPr="00057012">
        <w:t xml:space="preserve"> </w:t>
      </w:r>
      <w:r w:rsidR="00162F2A" w:rsidRPr="00057012">
        <w:t xml:space="preserve">fax or copy machines </w:t>
      </w:r>
      <w:r w:rsidRPr="00057012">
        <w:t>(</w:t>
      </w:r>
      <w:r w:rsidR="00162F2A" w:rsidRPr="00057012">
        <w:t>which store PHI</w:t>
      </w:r>
      <w:r w:rsidRPr="00057012">
        <w:t>)</w:t>
      </w:r>
      <w:r w:rsidR="00CB306C" w:rsidRPr="00057012">
        <w:t>,</w:t>
      </w:r>
      <w:r w:rsidR="00162F2A" w:rsidRPr="00057012">
        <w:t xml:space="preserve"> SVCR will ensure the internal </w:t>
      </w:r>
      <w:r w:rsidRPr="00057012">
        <w:t xml:space="preserve">data </w:t>
      </w:r>
      <w:r w:rsidR="00162F2A" w:rsidRPr="00057012">
        <w:t>storage device</w:t>
      </w:r>
      <w:r w:rsidR="001F5071" w:rsidRPr="00057012">
        <w:t>s</w:t>
      </w:r>
      <w:r w:rsidR="00162F2A" w:rsidRPr="00057012">
        <w:t xml:space="preserve"> </w:t>
      </w:r>
      <w:r w:rsidR="001F5071" w:rsidRPr="00057012">
        <w:t>are</w:t>
      </w:r>
      <w:r w:rsidR="00162F2A" w:rsidRPr="00057012">
        <w:t xml:space="preserve"> removed and destroyed.</w:t>
      </w:r>
    </w:p>
    <w:p w:rsidR="00B26027" w:rsidRPr="00DA4CFF" w:rsidRDefault="00B26027">
      <w:pPr>
        <w:pStyle w:val="BodyTextIndent3"/>
        <w:ind w:left="0" w:firstLine="0"/>
        <w:rPr>
          <w:b/>
          <w:bCs/>
        </w:rPr>
      </w:pPr>
      <w:r w:rsidRPr="00DA4CFF">
        <w:t>V.</w:t>
      </w:r>
      <w:r w:rsidRPr="00DA4CFF">
        <w:tab/>
      </w:r>
      <w:r w:rsidRPr="00DA4CFF">
        <w:rPr>
          <w:b/>
          <w:bCs/>
        </w:rPr>
        <w:t>TECHNICAL SAFEGUARDS</w:t>
      </w:r>
    </w:p>
    <w:p w:rsidR="00B26027" w:rsidRPr="00DA4CFF" w:rsidRDefault="00B26027">
      <w:pPr>
        <w:pStyle w:val="BodyTextIndent3"/>
        <w:ind w:left="1092" w:hanging="372"/>
      </w:pPr>
      <w:r w:rsidRPr="00DA4CFF">
        <w:t>A.</w:t>
      </w:r>
      <w:r w:rsidRPr="00DA4CFF">
        <w:tab/>
        <w:t xml:space="preserve">Every authorized </w:t>
      </w:r>
      <w:smartTag w:uri="urn:schemas-microsoft-com:office:smarttags" w:element="PersonName">
        <w:r w:rsidRPr="00DA4CFF">
          <w:t>SVCR</w:t>
        </w:r>
      </w:smartTag>
      <w:r w:rsidRPr="00DA4CFF">
        <w:t xml:space="preserve"> staff will be assigned a user password in order to access the network computer terminal.</w:t>
      </w:r>
    </w:p>
    <w:p w:rsidR="00B26027" w:rsidRDefault="00B26027">
      <w:pPr>
        <w:pStyle w:val="BodyTextIndent3"/>
        <w:ind w:left="1092" w:hanging="372"/>
      </w:pPr>
      <w:r w:rsidRPr="00DA4CFF">
        <w:t>B.</w:t>
      </w:r>
      <w:r w:rsidRPr="00DA4CFF">
        <w:tab/>
        <w:t>Only authorized personnel will be given access to automated client PHI.</w:t>
      </w:r>
    </w:p>
    <w:sectPr w:rsidR="00B26027" w:rsidSect="002B6815">
      <w:footerReference w:type="even" r:id="rId8"/>
      <w:footerReference w:type="default" r:id="rId9"/>
      <w:pgSz w:w="12240" w:h="15840"/>
      <w:pgMar w:top="720" w:right="72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568" w:rsidRDefault="004E1568">
      <w:r>
        <w:separator/>
      </w:r>
    </w:p>
  </w:endnote>
  <w:endnote w:type="continuationSeparator" w:id="0">
    <w:p w:rsidR="004E1568" w:rsidRDefault="004E1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027" w:rsidRDefault="008F6160">
    <w:pPr>
      <w:pStyle w:val="Footer"/>
      <w:framePr w:wrap="around" w:vAnchor="text" w:hAnchor="margin" w:xAlign="center" w:y="1"/>
      <w:rPr>
        <w:rStyle w:val="PageNumber"/>
      </w:rPr>
    </w:pPr>
    <w:r>
      <w:rPr>
        <w:rStyle w:val="PageNumber"/>
      </w:rPr>
      <w:fldChar w:fldCharType="begin"/>
    </w:r>
    <w:r w:rsidR="00B26027">
      <w:rPr>
        <w:rStyle w:val="PageNumber"/>
      </w:rPr>
      <w:instrText xml:space="preserve">PAGE  </w:instrText>
    </w:r>
    <w:r>
      <w:rPr>
        <w:rStyle w:val="PageNumber"/>
      </w:rPr>
      <w:fldChar w:fldCharType="end"/>
    </w:r>
  </w:p>
  <w:p w:rsidR="00B26027" w:rsidRDefault="00B260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158" w:rsidRDefault="00B26027" w:rsidP="00CD0158">
    <w:pPr>
      <w:pStyle w:val="Footer"/>
      <w:pBdr>
        <w:top w:val="single" w:sz="4" w:space="1" w:color="auto"/>
      </w:pBdr>
      <w:rPr>
        <w:sz w:val="18"/>
      </w:rPr>
    </w:pPr>
    <w:r>
      <w:rPr>
        <w:sz w:val="18"/>
      </w:rPr>
      <w:t xml:space="preserve">Shenandoah Valley Community Residences, Inc.                        </w:t>
    </w:r>
    <w:r>
      <w:rPr>
        <w:sz w:val="18"/>
      </w:rPr>
      <w:tab/>
    </w:r>
  </w:p>
  <w:p w:rsidR="00B26027" w:rsidRDefault="00627525" w:rsidP="00CD0158">
    <w:pPr>
      <w:pStyle w:val="Footer"/>
      <w:pBdr>
        <w:top w:val="single" w:sz="4" w:space="1" w:color="auto"/>
      </w:pBdr>
      <w:rPr>
        <w:sz w:val="18"/>
      </w:rPr>
    </w:pPr>
    <w:r>
      <w:rPr>
        <w:sz w:val="18"/>
      </w:rPr>
      <w:t>Revised</w:t>
    </w:r>
    <w:r w:rsidR="00B26027">
      <w:rPr>
        <w:sz w:val="18"/>
      </w:rPr>
      <w:t xml:space="preserve"> </w:t>
    </w:r>
    <w:r w:rsidR="005F2764">
      <w:rPr>
        <w:sz w:val="18"/>
      </w:rPr>
      <w:t>9/</w:t>
    </w:r>
    <w:r w:rsidR="00CB306C">
      <w:rPr>
        <w:sz w:val="18"/>
      </w:rPr>
      <w:t>23</w:t>
    </w:r>
    <w:r>
      <w:rPr>
        <w:sz w:val="18"/>
      </w:rPr>
      <w:t>/20</w:t>
    </w:r>
    <w:r w:rsidR="00CB306C">
      <w:rPr>
        <w:sz w:val="18"/>
      </w:rPr>
      <w:t>13</w:t>
    </w:r>
    <w:r>
      <w:rPr>
        <w:sz w:val="18"/>
      </w:rPr>
      <w:tab/>
    </w:r>
    <w:r>
      <w:rPr>
        <w:sz w:val="18"/>
      </w:rPr>
      <w:tab/>
      <w:t xml:space="preserve">   </w:t>
    </w:r>
    <w:r w:rsidR="005F2764">
      <w:rPr>
        <w:sz w:val="18"/>
      </w:rPr>
      <w:t xml:space="preserve">                                                                            </w:t>
    </w:r>
    <w:r>
      <w:rPr>
        <w:sz w:val="18"/>
      </w:rPr>
      <w:t xml:space="preserve"> </w:t>
    </w:r>
    <w:r w:rsidR="00B26027">
      <w:rPr>
        <w:sz w:val="18"/>
      </w:rPr>
      <w:t>HIPAA Privacy Standards</w:t>
    </w:r>
  </w:p>
  <w:p w:rsidR="00B26027" w:rsidRDefault="00B26027" w:rsidP="00CD0158">
    <w:pPr>
      <w:pStyle w:val="Footer"/>
      <w:pBdr>
        <w:top w:val="single" w:sz="4" w:space="1" w:color="auto"/>
      </w:pBdr>
    </w:pPr>
    <w:r>
      <w:rPr>
        <w:color w:val="000080"/>
        <w:sz w:val="20"/>
      </w:rPr>
      <w:sym w:font="Wingdings" w:char="F09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568" w:rsidRDefault="004E1568">
      <w:r>
        <w:separator/>
      </w:r>
    </w:p>
  </w:footnote>
  <w:footnote w:type="continuationSeparator" w:id="0">
    <w:p w:rsidR="004E1568" w:rsidRDefault="004E15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34ED1"/>
    <w:multiLevelType w:val="hybridMultilevel"/>
    <w:tmpl w:val="9DE27EA8"/>
    <w:lvl w:ilvl="0" w:tplc="BDF4BE20">
      <w:start w:val="1"/>
      <w:numFmt w:val="upperLetter"/>
      <w:lvlText w:val="%1."/>
      <w:lvlJc w:val="left"/>
      <w:pPr>
        <w:tabs>
          <w:tab w:val="num" w:pos="1080"/>
        </w:tabs>
        <w:ind w:left="1080" w:hanging="360"/>
      </w:pPr>
      <w:rPr>
        <w:rFonts w:hint="default"/>
      </w:rPr>
    </w:lvl>
    <w:lvl w:ilvl="1" w:tplc="539E24B4">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095EE4"/>
    <w:multiLevelType w:val="multilevel"/>
    <w:tmpl w:val="B9D01642"/>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
    <w:nsid w:val="2F2F6A45"/>
    <w:multiLevelType w:val="hybridMultilevel"/>
    <w:tmpl w:val="2C1C9B08"/>
    <w:lvl w:ilvl="0" w:tplc="2E16593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030A0D"/>
    <w:multiLevelType w:val="hybridMultilevel"/>
    <w:tmpl w:val="59DCB8E4"/>
    <w:lvl w:ilvl="0" w:tplc="70748FA8">
      <w:start w:val="1"/>
      <w:numFmt w:val="upperLetter"/>
      <w:lvlText w:val="%1."/>
      <w:lvlJc w:val="left"/>
      <w:pPr>
        <w:tabs>
          <w:tab w:val="num" w:pos="1080"/>
        </w:tabs>
        <w:ind w:left="1080" w:hanging="360"/>
      </w:pPr>
      <w:rPr>
        <w:rFonts w:hint="default"/>
      </w:rPr>
    </w:lvl>
    <w:lvl w:ilvl="1" w:tplc="73B8EA48">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FC3ABB"/>
    <w:multiLevelType w:val="hybridMultilevel"/>
    <w:tmpl w:val="89A29006"/>
    <w:lvl w:ilvl="0" w:tplc="9A2E411C">
      <w:start w:val="1"/>
      <w:numFmt w:val="decimal"/>
      <w:lvlText w:val="%1."/>
      <w:lvlJc w:val="left"/>
      <w:pPr>
        <w:tabs>
          <w:tab w:val="num" w:pos="1440"/>
        </w:tabs>
        <w:ind w:left="1440" w:hanging="360"/>
      </w:pPr>
      <w:rPr>
        <w:rFonts w:hint="default"/>
      </w:rPr>
    </w:lvl>
    <w:lvl w:ilvl="1" w:tplc="8DF0D5E4">
      <w:start w:val="3"/>
      <w:numFmt w:val="decimal"/>
      <w:lvlText w:val="%2."/>
      <w:lvlJc w:val="left"/>
      <w:pPr>
        <w:tabs>
          <w:tab w:val="num" w:pos="1440"/>
        </w:tabs>
        <w:ind w:left="1440" w:hanging="360"/>
      </w:pPr>
      <w:rPr>
        <w:rFonts w:hint="default"/>
      </w:rPr>
    </w:lvl>
    <w:lvl w:ilvl="2" w:tplc="B25E62CC">
      <w:start w:val="2"/>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D312E69"/>
    <w:multiLevelType w:val="hybridMultilevel"/>
    <w:tmpl w:val="23B66928"/>
    <w:lvl w:ilvl="0" w:tplc="E8244134">
      <w:start w:val="1"/>
      <w:numFmt w:val="upperLetter"/>
      <w:lvlText w:val="%1."/>
      <w:lvlJc w:val="left"/>
      <w:pPr>
        <w:tabs>
          <w:tab w:val="num" w:pos="1080"/>
        </w:tabs>
        <w:ind w:left="1080" w:hanging="360"/>
      </w:pPr>
      <w:rPr>
        <w:rFonts w:hint="default"/>
      </w:rPr>
    </w:lvl>
    <w:lvl w:ilvl="1" w:tplc="7FA441EC">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9062F9C"/>
    <w:multiLevelType w:val="hybridMultilevel"/>
    <w:tmpl w:val="7B724F28"/>
    <w:lvl w:ilvl="0" w:tplc="F9E44BBC">
      <w:start w:val="1"/>
      <w:numFmt w:val="upperLetter"/>
      <w:lvlText w:val="%1."/>
      <w:lvlJc w:val="left"/>
      <w:pPr>
        <w:tabs>
          <w:tab w:val="num" w:pos="1440"/>
        </w:tabs>
        <w:ind w:left="1440" w:hanging="360"/>
      </w:pPr>
      <w:rPr>
        <w:rFonts w:ascii="Arial" w:hAnsi="Arial" w:hint="default"/>
        <w:b w:val="0"/>
        <w:i w:val="0"/>
        <w:spacing w:val="0"/>
        <w:sz w:val="24"/>
      </w:rPr>
    </w:lvl>
    <w:lvl w:ilvl="1" w:tplc="8B0E3234">
      <w:start w:val="1"/>
      <w:numFmt w:val="upperLetter"/>
      <w:lvlText w:val="%2."/>
      <w:lvlJc w:val="left"/>
      <w:pPr>
        <w:tabs>
          <w:tab w:val="num" w:pos="2160"/>
        </w:tabs>
        <w:ind w:left="2160" w:hanging="360"/>
      </w:pPr>
      <w:rPr>
        <w:rFonts w:ascii="Arial" w:hAnsi="Arial" w:hint="default"/>
        <w:b w:val="0"/>
        <w:i w:val="0"/>
        <w:spacing w:val="0"/>
        <w:sz w:val="24"/>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7A026E5F"/>
    <w:multiLevelType w:val="multilevel"/>
    <w:tmpl w:val="747A0BD2"/>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0"/>
  </w:num>
  <w:num w:numId="3">
    <w:abstractNumId w:val="2"/>
  </w:num>
  <w:num w:numId="4">
    <w:abstractNumId w:val="7"/>
  </w:num>
  <w:num w:numId="5">
    <w:abstractNumId w:val="4"/>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26027"/>
    <w:rsid w:val="00057012"/>
    <w:rsid w:val="000E16BE"/>
    <w:rsid w:val="00156541"/>
    <w:rsid w:val="00162F2A"/>
    <w:rsid w:val="001D4643"/>
    <w:rsid w:val="001F5071"/>
    <w:rsid w:val="002B6815"/>
    <w:rsid w:val="002C3733"/>
    <w:rsid w:val="00300A97"/>
    <w:rsid w:val="004E1568"/>
    <w:rsid w:val="005F2764"/>
    <w:rsid w:val="00627525"/>
    <w:rsid w:val="008F6160"/>
    <w:rsid w:val="00923143"/>
    <w:rsid w:val="00A14539"/>
    <w:rsid w:val="00B070BF"/>
    <w:rsid w:val="00B12701"/>
    <w:rsid w:val="00B26027"/>
    <w:rsid w:val="00BB20C6"/>
    <w:rsid w:val="00C02552"/>
    <w:rsid w:val="00CB306C"/>
    <w:rsid w:val="00CD0158"/>
    <w:rsid w:val="00DA4CFF"/>
    <w:rsid w:val="00E927F5"/>
    <w:rsid w:val="00F32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980FFB17-B312-4B53-BC9E-E83841E5D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815"/>
    <w:rPr>
      <w:rFonts w:ascii="Arial" w:hAnsi="Arial" w:cs="Arial"/>
      <w:color w:val="000000"/>
      <w:sz w:val="24"/>
      <w:szCs w:val="24"/>
    </w:rPr>
  </w:style>
  <w:style w:type="paragraph" w:styleId="Heading1">
    <w:name w:val="heading 1"/>
    <w:basedOn w:val="Normal"/>
    <w:next w:val="Normal"/>
    <w:qFormat/>
    <w:rsid w:val="002B6815"/>
    <w:pPr>
      <w:keepNext/>
      <w:numPr>
        <w:numId w:val="8"/>
      </w:numPr>
      <w:spacing w:before="240" w:after="60"/>
      <w:outlineLvl w:val="0"/>
    </w:pPr>
    <w:rPr>
      <w:b/>
      <w:bCs/>
      <w:kern w:val="32"/>
      <w:sz w:val="32"/>
      <w:szCs w:val="32"/>
    </w:rPr>
  </w:style>
  <w:style w:type="paragraph" w:styleId="Heading2">
    <w:name w:val="heading 2"/>
    <w:basedOn w:val="Normal"/>
    <w:next w:val="Normal"/>
    <w:qFormat/>
    <w:rsid w:val="002B6815"/>
    <w:pPr>
      <w:keepNext/>
      <w:numPr>
        <w:ilvl w:val="1"/>
        <w:numId w:val="8"/>
      </w:numPr>
      <w:spacing w:before="240" w:after="60"/>
      <w:outlineLvl w:val="1"/>
    </w:pPr>
    <w:rPr>
      <w:b/>
      <w:bCs/>
      <w:i/>
      <w:iCs/>
      <w:sz w:val="28"/>
      <w:szCs w:val="28"/>
    </w:rPr>
  </w:style>
  <w:style w:type="paragraph" w:styleId="Heading3">
    <w:name w:val="heading 3"/>
    <w:basedOn w:val="Normal"/>
    <w:next w:val="Normal"/>
    <w:qFormat/>
    <w:rsid w:val="002B6815"/>
    <w:pPr>
      <w:keepNext/>
      <w:numPr>
        <w:ilvl w:val="2"/>
        <w:numId w:val="8"/>
      </w:numPr>
      <w:spacing w:before="240" w:after="60"/>
      <w:outlineLvl w:val="2"/>
    </w:pPr>
    <w:rPr>
      <w:b/>
      <w:bCs/>
      <w:sz w:val="26"/>
      <w:szCs w:val="26"/>
    </w:rPr>
  </w:style>
  <w:style w:type="paragraph" w:styleId="Heading4">
    <w:name w:val="heading 4"/>
    <w:basedOn w:val="Normal"/>
    <w:next w:val="Normal"/>
    <w:qFormat/>
    <w:rsid w:val="002B6815"/>
    <w:pPr>
      <w:keepNext/>
      <w:numPr>
        <w:ilvl w:val="3"/>
        <w:numId w:val="8"/>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B6815"/>
    <w:pPr>
      <w:numPr>
        <w:ilvl w:val="4"/>
        <w:numId w:val="8"/>
      </w:numPr>
      <w:spacing w:before="240" w:after="60"/>
      <w:outlineLvl w:val="4"/>
    </w:pPr>
    <w:rPr>
      <w:b/>
      <w:bCs/>
      <w:i/>
      <w:iCs/>
      <w:sz w:val="26"/>
      <w:szCs w:val="26"/>
    </w:rPr>
  </w:style>
  <w:style w:type="paragraph" w:styleId="Heading6">
    <w:name w:val="heading 6"/>
    <w:basedOn w:val="Normal"/>
    <w:next w:val="Normal"/>
    <w:qFormat/>
    <w:rsid w:val="002B6815"/>
    <w:pPr>
      <w:numPr>
        <w:ilvl w:val="5"/>
        <w:numId w:val="8"/>
      </w:num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2B6815"/>
    <w:pPr>
      <w:numPr>
        <w:ilvl w:val="6"/>
        <w:numId w:val="8"/>
      </w:numPr>
      <w:spacing w:before="240" w:after="60"/>
      <w:outlineLvl w:val="6"/>
    </w:pPr>
    <w:rPr>
      <w:rFonts w:ascii="Times New Roman" w:hAnsi="Times New Roman" w:cs="Times New Roman"/>
    </w:rPr>
  </w:style>
  <w:style w:type="paragraph" w:styleId="Heading8">
    <w:name w:val="heading 8"/>
    <w:basedOn w:val="Normal"/>
    <w:next w:val="Normal"/>
    <w:qFormat/>
    <w:rsid w:val="002B6815"/>
    <w:pPr>
      <w:numPr>
        <w:ilvl w:val="7"/>
        <w:numId w:val="8"/>
      </w:numPr>
      <w:spacing w:before="240" w:after="60"/>
      <w:outlineLvl w:val="7"/>
    </w:pPr>
    <w:rPr>
      <w:rFonts w:ascii="Times New Roman" w:hAnsi="Times New Roman" w:cs="Times New Roman"/>
      <w:i/>
      <w:iCs/>
    </w:rPr>
  </w:style>
  <w:style w:type="paragraph" w:styleId="Heading9">
    <w:name w:val="heading 9"/>
    <w:basedOn w:val="Normal"/>
    <w:next w:val="Normal"/>
    <w:qFormat/>
    <w:rsid w:val="002B6815"/>
    <w:pPr>
      <w:numPr>
        <w:ilvl w:val="8"/>
        <w:numId w:val="8"/>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6815"/>
    <w:pPr>
      <w:tabs>
        <w:tab w:val="center" w:pos="4320"/>
        <w:tab w:val="right" w:pos="8640"/>
      </w:tabs>
    </w:pPr>
  </w:style>
  <w:style w:type="paragraph" w:styleId="Footer">
    <w:name w:val="footer"/>
    <w:basedOn w:val="Normal"/>
    <w:rsid w:val="002B6815"/>
    <w:pPr>
      <w:tabs>
        <w:tab w:val="center" w:pos="4320"/>
        <w:tab w:val="right" w:pos="8640"/>
      </w:tabs>
    </w:pPr>
  </w:style>
  <w:style w:type="paragraph" w:styleId="EnvelopeReturn">
    <w:name w:val="envelope return"/>
    <w:basedOn w:val="Normal"/>
    <w:rsid w:val="002B6815"/>
    <w:rPr>
      <w:color w:val="000080"/>
      <w:sz w:val="20"/>
      <w:szCs w:val="20"/>
    </w:rPr>
  </w:style>
  <w:style w:type="paragraph" w:styleId="EnvelopeAddress">
    <w:name w:val="envelope address"/>
    <w:basedOn w:val="Normal"/>
    <w:rsid w:val="002B6815"/>
    <w:pPr>
      <w:framePr w:w="7920" w:h="1980" w:hRule="exact" w:hSpace="180" w:wrap="auto" w:hAnchor="page" w:xAlign="center" w:yAlign="bottom"/>
      <w:ind w:left="2880"/>
    </w:pPr>
    <w:rPr>
      <w:sz w:val="28"/>
    </w:rPr>
  </w:style>
  <w:style w:type="paragraph" w:styleId="BodyTextIndent">
    <w:name w:val="Body Text Indent"/>
    <w:basedOn w:val="Normal"/>
    <w:rsid w:val="002B6815"/>
    <w:pPr>
      <w:ind w:left="720" w:hanging="720"/>
    </w:pPr>
    <w:rPr>
      <w:color w:val="auto"/>
    </w:rPr>
  </w:style>
  <w:style w:type="paragraph" w:styleId="BodyTextIndent2">
    <w:name w:val="Body Text Indent 2"/>
    <w:basedOn w:val="Normal"/>
    <w:rsid w:val="002B6815"/>
    <w:pPr>
      <w:spacing w:before="100" w:beforeAutospacing="1" w:after="100" w:afterAutospacing="1"/>
      <w:ind w:left="1440" w:hanging="360"/>
      <w:jc w:val="both"/>
    </w:pPr>
    <w:rPr>
      <w:color w:val="auto"/>
    </w:rPr>
  </w:style>
  <w:style w:type="paragraph" w:styleId="BodyTextIndent3">
    <w:name w:val="Body Text Indent 3"/>
    <w:basedOn w:val="Normal"/>
    <w:rsid w:val="002B6815"/>
    <w:pPr>
      <w:spacing w:before="100" w:beforeAutospacing="1" w:after="100" w:afterAutospacing="1"/>
      <w:ind w:left="1080" w:hanging="360"/>
      <w:jc w:val="both"/>
    </w:pPr>
    <w:rPr>
      <w:color w:val="auto"/>
    </w:rPr>
  </w:style>
  <w:style w:type="character" w:styleId="PageNumber">
    <w:name w:val="page number"/>
    <w:basedOn w:val="DefaultParagraphFont"/>
    <w:rsid w:val="002B6815"/>
  </w:style>
  <w:style w:type="paragraph" w:styleId="BalloonText">
    <w:name w:val="Balloon Text"/>
    <w:basedOn w:val="Normal"/>
    <w:link w:val="BalloonTextChar"/>
    <w:uiPriority w:val="99"/>
    <w:semiHidden/>
    <w:unhideWhenUsed/>
    <w:rsid w:val="00CB30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06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3E7F3-DF1B-4EEA-9E44-50CF57140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SHENANDOAH VALLEY COMMUNITY RESIDENCES, INC</vt:lpstr>
    </vt:vector>
  </TitlesOfParts>
  <Company/>
  <LinksUpToDate>false</LinksUpToDate>
  <CharactersWithSpaces>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SHENANDOAH VALLEY COMMUNITY RESIDENCES, INC</dc:title>
  <dc:creator>Terri A. Tuck</dc:creator>
  <cp:lastModifiedBy>Cathy</cp:lastModifiedBy>
  <cp:revision>2</cp:revision>
  <cp:lastPrinted>2013-09-26T16:52:00Z</cp:lastPrinted>
  <dcterms:created xsi:type="dcterms:W3CDTF">2013-10-14T14:35:00Z</dcterms:created>
  <dcterms:modified xsi:type="dcterms:W3CDTF">2013-10-14T14:35:00Z</dcterms:modified>
</cp:coreProperties>
</file>